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A2" w:rsidRPr="00E92F15" w:rsidRDefault="003154A2" w:rsidP="00F21D3F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 w:rsidRPr="00E92F15">
        <w:rPr>
          <w:rFonts w:ascii="Arial" w:hAnsi="Arial" w:cs="Arial"/>
          <w:b/>
          <w:sz w:val="28"/>
          <w:szCs w:val="28"/>
        </w:rPr>
        <w:t xml:space="preserve">PROGRAMA </w:t>
      </w:r>
      <w:r w:rsidR="00382521" w:rsidRPr="00E92F15">
        <w:rPr>
          <w:rFonts w:ascii="Arial" w:hAnsi="Arial" w:cs="Arial"/>
          <w:b/>
          <w:sz w:val="28"/>
          <w:szCs w:val="28"/>
        </w:rPr>
        <w:t>45E</w:t>
      </w:r>
      <w:r w:rsidR="00D056AF" w:rsidRPr="00E92F15">
        <w:rPr>
          <w:rFonts w:ascii="Arial" w:hAnsi="Arial" w:cs="Arial"/>
          <w:b/>
          <w:sz w:val="28"/>
          <w:szCs w:val="28"/>
        </w:rPr>
        <w:t>C</w:t>
      </w:r>
    </w:p>
    <w:p w:rsidR="003154A2" w:rsidRPr="00E92F15" w:rsidRDefault="00A41B8E" w:rsidP="00283646">
      <w:pPr>
        <w:spacing w:after="240" w:line="360" w:lineRule="auto"/>
        <w:jc w:val="center"/>
        <w:rPr>
          <w:rFonts w:ascii="Arial" w:hAnsi="Arial" w:cs="Arial"/>
          <w:b/>
          <w:sz w:val="26"/>
          <w:szCs w:val="26"/>
        </w:rPr>
      </w:pPr>
      <w:r w:rsidRPr="00E92F15">
        <w:rPr>
          <w:rFonts w:ascii="Arial" w:hAnsi="Arial" w:cs="Arial"/>
          <w:b/>
          <w:sz w:val="26"/>
          <w:szCs w:val="26"/>
        </w:rPr>
        <w:t>C</w:t>
      </w:r>
      <w:r w:rsidR="002767EC" w:rsidRPr="00E92F15">
        <w:rPr>
          <w:rFonts w:ascii="Arial" w:hAnsi="Arial" w:cs="Arial"/>
          <w:b/>
          <w:sz w:val="26"/>
          <w:szCs w:val="26"/>
        </w:rPr>
        <w:t>0</w:t>
      </w:r>
      <w:r w:rsidR="00382521" w:rsidRPr="00E92F15">
        <w:rPr>
          <w:rFonts w:ascii="Arial" w:hAnsi="Arial" w:cs="Arial"/>
          <w:b/>
          <w:sz w:val="26"/>
          <w:szCs w:val="26"/>
        </w:rPr>
        <w:t>5</w:t>
      </w:r>
      <w:r w:rsidR="002767EC" w:rsidRPr="00E92F15">
        <w:rPr>
          <w:rFonts w:ascii="Arial" w:hAnsi="Arial" w:cs="Arial"/>
          <w:b/>
          <w:sz w:val="26"/>
          <w:szCs w:val="26"/>
        </w:rPr>
        <w:t>.</w:t>
      </w:r>
      <w:r w:rsidRPr="00E92F15">
        <w:rPr>
          <w:rFonts w:ascii="Arial" w:hAnsi="Arial" w:cs="Arial"/>
          <w:b/>
          <w:sz w:val="26"/>
          <w:szCs w:val="26"/>
        </w:rPr>
        <w:t>I</w:t>
      </w:r>
      <w:r w:rsidR="002767EC" w:rsidRPr="00E92F15">
        <w:rPr>
          <w:rFonts w:ascii="Arial" w:hAnsi="Arial" w:cs="Arial"/>
          <w:b/>
          <w:sz w:val="26"/>
          <w:szCs w:val="26"/>
        </w:rPr>
        <w:t>0</w:t>
      </w:r>
      <w:r w:rsidRPr="00E92F15">
        <w:rPr>
          <w:rFonts w:ascii="Arial" w:hAnsi="Arial" w:cs="Arial"/>
          <w:b/>
          <w:sz w:val="26"/>
          <w:szCs w:val="26"/>
        </w:rPr>
        <w:t>3 TRANSICIÓN DIGITAL EN EL SECTOR DEL AGUA</w:t>
      </w:r>
      <w:r w:rsidR="00542732" w:rsidRPr="00E92F15">
        <w:rPr>
          <w:rFonts w:ascii="Arial" w:hAnsi="Arial" w:cs="Arial"/>
          <w:b/>
          <w:sz w:val="26"/>
          <w:szCs w:val="26"/>
        </w:rPr>
        <w:t>. INFRAESTRUCTURAS Y ECOSISTEMAS RESILIENTES</w:t>
      </w:r>
    </w:p>
    <w:p w:rsidR="00517824" w:rsidRPr="00E36A36" w:rsidRDefault="00517824" w:rsidP="00F21D3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E36A36">
        <w:rPr>
          <w:rFonts w:ascii="Arial" w:hAnsi="Arial" w:cs="Arial"/>
          <w:b/>
          <w:sz w:val="22"/>
          <w:szCs w:val="22"/>
        </w:rPr>
        <w:t xml:space="preserve">1. </w:t>
      </w:r>
      <w:r w:rsidR="00A41B8E" w:rsidRPr="00E36A36">
        <w:rPr>
          <w:rFonts w:ascii="Arial" w:hAnsi="Arial" w:cs="Arial"/>
          <w:b/>
          <w:sz w:val="22"/>
          <w:szCs w:val="22"/>
        </w:rPr>
        <w:t xml:space="preserve">DENOMINACIÓN DEL COMPONENTE </w:t>
      </w:r>
    </w:p>
    <w:p w:rsidR="00517824" w:rsidRPr="00E36A36" w:rsidRDefault="00382521" w:rsidP="00F21D3F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E36A36">
        <w:rPr>
          <w:rFonts w:ascii="Arial" w:hAnsi="Arial" w:cs="Arial"/>
          <w:sz w:val="22"/>
          <w:szCs w:val="22"/>
        </w:rPr>
        <w:t>Preservación del litoral y recursos hídricos</w:t>
      </w:r>
      <w:r w:rsidR="00E758B4" w:rsidRPr="00E36A36">
        <w:rPr>
          <w:rFonts w:ascii="Arial" w:hAnsi="Arial" w:cs="Arial"/>
          <w:sz w:val="22"/>
          <w:szCs w:val="22"/>
        </w:rPr>
        <w:t>.</w:t>
      </w:r>
    </w:p>
    <w:p w:rsidR="00517824" w:rsidRPr="00E36A36" w:rsidRDefault="00517824" w:rsidP="00F21D3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E36A36">
        <w:rPr>
          <w:rFonts w:ascii="Arial" w:hAnsi="Arial" w:cs="Arial"/>
          <w:b/>
          <w:sz w:val="22"/>
          <w:szCs w:val="22"/>
        </w:rPr>
        <w:t xml:space="preserve">2. </w:t>
      </w:r>
      <w:r w:rsidR="00A41B8E" w:rsidRPr="00E36A36">
        <w:rPr>
          <w:rFonts w:ascii="Arial" w:hAnsi="Arial" w:cs="Arial"/>
          <w:b/>
          <w:sz w:val="22"/>
          <w:szCs w:val="22"/>
        </w:rPr>
        <w:t>DESCRIPCIÓN GENERAL DEL COMPONENTE</w:t>
      </w:r>
    </w:p>
    <w:p w:rsidR="00517824" w:rsidRPr="002767EC" w:rsidRDefault="00382521" w:rsidP="00F21D3F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2767EC">
        <w:rPr>
          <w:rFonts w:ascii="Arial" w:hAnsi="Arial" w:cs="Arial"/>
          <w:sz w:val="22"/>
          <w:szCs w:val="22"/>
        </w:rPr>
        <w:t>El componente 5 del PRTR pretende por un lado, la preservación del litoral mediante la implantación de la política de adaptación de la costa a los efectos del cambio climático, la Implementación de las Estrategias Marinas, y la aprobación y puesta en marcha de los Planes de Ordenación del Espacio Marítimo, y por otro lado, la adecuada gestión de los recursos hídricos mediante la potenciación de la política del agua para desarrollar las líneas estratégicas establecidas por el MITECO en tres ámbitos: el de la planificación hidrológica para organizar todas las actividades; el normativo para introducir las reformas precisas para desarrollar la nueva política del agua; y por último, el de las inversiones para materializar en el territorio la política desplegada. Además, y como elemento soporte a las políticas de agua, se pretende la digitalización y mejora en los procesos de observación y predicción meteorológica para la mejora de las proyecciones climáticas y para el seguimiento del cambio climático (detección de tendencias e identificación de impactos).</w:t>
      </w:r>
    </w:p>
    <w:p w:rsidR="00A41B8E" w:rsidRPr="00E36A36" w:rsidRDefault="00517824" w:rsidP="00F21D3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E36A36">
        <w:rPr>
          <w:rFonts w:ascii="Arial" w:hAnsi="Arial" w:cs="Arial"/>
          <w:b/>
          <w:sz w:val="22"/>
          <w:szCs w:val="22"/>
        </w:rPr>
        <w:t xml:space="preserve">3. </w:t>
      </w:r>
      <w:r w:rsidR="00A41B8E" w:rsidRPr="00E36A36">
        <w:rPr>
          <w:rFonts w:ascii="Arial" w:hAnsi="Arial" w:cs="Arial"/>
          <w:b/>
          <w:sz w:val="22"/>
          <w:szCs w:val="22"/>
        </w:rPr>
        <w:t>PRINCIPALES OBJETIVOS DEL COMPONENTE</w:t>
      </w:r>
    </w:p>
    <w:p w:rsidR="00D056AF" w:rsidRPr="00E36A36" w:rsidRDefault="00D056AF" w:rsidP="00F21D3F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E36A36">
        <w:rPr>
          <w:rFonts w:ascii="Arial" w:hAnsi="Arial" w:cs="Arial"/>
          <w:sz w:val="22"/>
          <w:szCs w:val="22"/>
        </w:rPr>
        <w:t>Dentro de la gestión de recursos hídricos, y en lo que afecta a la Dirección General del Agua, los objetivos fijados en el PRTR son:</w:t>
      </w:r>
    </w:p>
    <w:p w:rsidR="00D056AF" w:rsidRPr="00E36A36" w:rsidRDefault="00D056AF" w:rsidP="00283646">
      <w:pPr>
        <w:pStyle w:val="Prrafodelista"/>
        <w:numPr>
          <w:ilvl w:val="0"/>
          <w:numId w:val="7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421AB4">
        <w:rPr>
          <w:rFonts w:ascii="Arial" w:hAnsi="Arial" w:cs="Arial"/>
          <w:sz w:val="22"/>
          <w:szCs w:val="22"/>
        </w:rPr>
        <w:t>Gestión y control del Dominio Público Hidráulico</w:t>
      </w:r>
      <w:r w:rsidRPr="00E36A36">
        <w:rPr>
          <w:rFonts w:ascii="Arial" w:hAnsi="Arial" w:cs="Arial"/>
          <w:sz w:val="22"/>
          <w:szCs w:val="22"/>
        </w:rPr>
        <w:t>: control y vigilancia de los usos del agua; mejora de los programas de seguimiento del estado de las masas de aguas, en especial de las subterráneas; y desarrollo de los sistemas de alerta y previsión de avenidas (SAIHs).</w:t>
      </w:r>
    </w:p>
    <w:p w:rsidR="00D056AF" w:rsidRPr="00E36A36" w:rsidRDefault="00D056AF" w:rsidP="00283646">
      <w:pPr>
        <w:pStyle w:val="Prrafodelista"/>
        <w:numPr>
          <w:ilvl w:val="0"/>
          <w:numId w:val="7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421AB4">
        <w:rPr>
          <w:rFonts w:ascii="Arial" w:hAnsi="Arial" w:cs="Arial"/>
          <w:sz w:val="22"/>
          <w:szCs w:val="22"/>
        </w:rPr>
        <w:t>Digitalización de la administración pública del agua</w:t>
      </w:r>
      <w:r w:rsidRPr="00E36A36">
        <w:rPr>
          <w:rFonts w:ascii="Arial" w:hAnsi="Arial" w:cs="Arial"/>
          <w:sz w:val="22"/>
          <w:szCs w:val="22"/>
        </w:rPr>
        <w:t>.</w:t>
      </w:r>
    </w:p>
    <w:p w:rsidR="00A41B8E" w:rsidRPr="00E36A36" w:rsidRDefault="00517824" w:rsidP="00F21D3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E36A36">
        <w:rPr>
          <w:rFonts w:ascii="Arial" w:hAnsi="Arial" w:cs="Arial"/>
          <w:b/>
          <w:sz w:val="22"/>
          <w:szCs w:val="22"/>
        </w:rPr>
        <w:t xml:space="preserve">4. </w:t>
      </w:r>
      <w:r w:rsidR="00A41B8E" w:rsidRPr="00E36A36">
        <w:rPr>
          <w:rFonts w:ascii="Arial" w:hAnsi="Arial" w:cs="Arial"/>
          <w:b/>
          <w:sz w:val="22"/>
          <w:szCs w:val="22"/>
        </w:rPr>
        <w:t>DESCRIPCIÓN DE LA INVERSIÓN</w:t>
      </w:r>
    </w:p>
    <w:p w:rsidR="00D056AF" w:rsidRPr="00E36A36" w:rsidRDefault="00D056AF" w:rsidP="00F21D3F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E36A36">
        <w:rPr>
          <w:rFonts w:ascii="Arial" w:hAnsi="Arial" w:cs="Arial"/>
          <w:sz w:val="22"/>
          <w:szCs w:val="22"/>
        </w:rPr>
        <w:t xml:space="preserve">Con esta inversión se pretende llevar a cabo la mejora del conocimiento y el uso de los recursos hídricos, así como actuaciones de seguimiento de las precipitaciones en cuencas hidrográficas y en el litoral y la mejora de la observación y vigilancia meteorológica </w:t>
      </w:r>
      <w:r w:rsidRPr="00E36A36">
        <w:rPr>
          <w:rFonts w:ascii="Arial" w:hAnsi="Arial" w:cs="Arial"/>
          <w:sz w:val="22"/>
          <w:szCs w:val="22"/>
        </w:rPr>
        <w:lastRenderedPageBreak/>
        <w:t>y la prevención de riesgos climáticos, correspondiendo estos dos últimos objetivos a la Agencia Estatal de Meteorología (AEMET).</w:t>
      </w:r>
    </w:p>
    <w:p w:rsidR="00D056AF" w:rsidRPr="00E36A36" w:rsidRDefault="00D056AF" w:rsidP="00F21D3F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E36A36">
        <w:rPr>
          <w:rFonts w:ascii="Arial" w:hAnsi="Arial" w:cs="Arial"/>
          <w:sz w:val="22"/>
          <w:szCs w:val="22"/>
        </w:rPr>
        <w:t xml:space="preserve">En cuanto a la </w:t>
      </w:r>
      <w:r w:rsidRPr="00421AB4">
        <w:rPr>
          <w:rFonts w:ascii="Arial" w:hAnsi="Arial" w:cs="Arial"/>
          <w:sz w:val="22"/>
          <w:szCs w:val="22"/>
        </w:rPr>
        <w:t>mejora del conocimiento y el uso de los recursos hídricos</w:t>
      </w:r>
      <w:r w:rsidRPr="00E36A36">
        <w:rPr>
          <w:rFonts w:ascii="Arial" w:hAnsi="Arial" w:cs="Arial"/>
          <w:sz w:val="22"/>
          <w:szCs w:val="22"/>
        </w:rPr>
        <w:t xml:space="preserve"> se van a llevar a cabo las siguientes actuaciones:</w:t>
      </w:r>
    </w:p>
    <w:p w:rsidR="00D056AF" w:rsidRPr="00E36A36" w:rsidRDefault="00D056AF" w:rsidP="002C06AF">
      <w:pPr>
        <w:pStyle w:val="Prrafodelista"/>
        <w:numPr>
          <w:ilvl w:val="0"/>
          <w:numId w:val="8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36A36">
        <w:rPr>
          <w:rFonts w:ascii="Arial" w:hAnsi="Arial" w:cs="Arial"/>
          <w:sz w:val="22"/>
          <w:szCs w:val="22"/>
        </w:rPr>
        <w:t>Evolución digital de los sistemas de control de las aguas incrementado la capacidad de los Sistemas Automáticos de Información Hidrológica (SAIH) mediante la implantación de 2.000 nuevos sensores.</w:t>
      </w:r>
    </w:p>
    <w:p w:rsidR="00D056AF" w:rsidRPr="00E36A36" w:rsidRDefault="00D056AF" w:rsidP="002C06AF">
      <w:pPr>
        <w:pStyle w:val="Prrafodelista"/>
        <w:numPr>
          <w:ilvl w:val="0"/>
          <w:numId w:val="8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36A36">
        <w:rPr>
          <w:rFonts w:ascii="Arial" w:hAnsi="Arial" w:cs="Arial"/>
          <w:sz w:val="22"/>
          <w:szCs w:val="22"/>
        </w:rPr>
        <w:t>Digitalización del Registro de Aguas.</w:t>
      </w:r>
    </w:p>
    <w:p w:rsidR="00D056AF" w:rsidRPr="00E36A36" w:rsidRDefault="00D056AF" w:rsidP="002C06AF">
      <w:pPr>
        <w:pStyle w:val="Prrafodelista"/>
        <w:numPr>
          <w:ilvl w:val="0"/>
          <w:numId w:val="8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36A36">
        <w:rPr>
          <w:rFonts w:ascii="Arial" w:hAnsi="Arial" w:cs="Arial"/>
          <w:sz w:val="22"/>
          <w:szCs w:val="22"/>
        </w:rPr>
        <w:t>Vigilancia y control del DPH mediante soluciones tecnológicas como las constelaciones de drones para la toma de datos in situ en tiempo real y su análisis big-data.</w:t>
      </w:r>
    </w:p>
    <w:p w:rsidR="00D056AF" w:rsidRPr="00E36A36" w:rsidRDefault="00D056AF" w:rsidP="002C06AF">
      <w:pPr>
        <w:pStyle w:val="Prrafodelista"/>
        <w:numPr>
          <w:ilvl w:val="0"/>
          <w:numId w:val="8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36A36">
        <w:rPr>
          <w:rFonts w:ascii="Arial" w:hAnsi="Arial" w:cs="Arial"/>
          <w:sz w:val="22"/>
          <w:szCs w:val="22"/>
        </w:rPr>
        <w:t>Refuerzo de la implantación de sistemas de previsión y alerta integrados en los SAIHs de los organismos de cuenca.</w:t>
      </w:r>
    </w:p>
    <w:p w:rsidR="00D056AF" w:rsidRPr="00E36A36" w:rsidRDefault="00D056AF" w:rsidP="002C06AF">
      <w:pPr>
        <w:pStyle w:val="Prrafodelista"/>
        <w:numPr>
          <w:ilvl w:val="0"/>
          <w:numId w:val="8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36A36">
        <w:rPr>
          <w:rFonts w:ascii="Arial" w:hAnsi="Arial" w:cs="Arial"/>
          <w:sz w:val="22"/>
          <w:szCs w:val="22"/>
        </w:rPr>
        <w:t>Impulso a la modelización numérica y digital del ciclo hidrológico y sus infraestructuras.</w:t>
      </w:r>
    </w:p>
    <w:p w:rsidR="00D056AF" w:rsidRPr="00E36A36" w:rsidRDefault="00D056AF" w:rsidP="002C06AF">
      <w:pPr>
        <w:pStyle w:val="Prrafodelista"/>
        <w:numPr>
          <w:ilvl w:val="0"/>
          <w:numId w:val="8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36A36">
        <w:rPr>
          <w:rFonts w:ascii="Arial" w:hAnsi="Arial" w:cs="Arial"/>
          <w:sz w:val="22"/>
          <w:szCs w:val="22"/>
        </w:rPr>
        <w:t>Libro Digital del Agua.</w:t>
      </w:r>
    </w:p>
    <w:p w:rsidR="00517824" w:rsidRDefault="00517824" w:rsidP="00F21D3F">
      <w:pPr>
        <w:spacing w:before="240" w:after="120" w:line="360" w:lineRule="auto"/>
        <w:rPr>
          <w:rFonts w:ascii="Arial" w:hAnsi="Arial" w:cs="Arial"/>
          <w:b/>
          <w:sz w:val="22"/>
          <w:szCs w:val="22"/>
        </w:rPr>
      </w:pPr>
      <w:r w:rsidRPr="00E36A36">
        <w:rPr>
          <w:rFonts w:ascii="Arial" w:hAnsi="Arial" w:cs="Arial"/>
          <w:b/>
          <w:sz w:val="22"/>
          <w:szCs w:val="22"/>
        </w:rPr>
        <w:t xml:space="preserve">5. </w:t>
      </w:r>
      <w:r w:rsidR="00A41B8E" w:rsidRPr="00E36A36">
        <w:rPr>
          <w:rFonts w:ascii="Arial" w:hAnsi="Arial" w:cs="Arial"/>
          <w:b/>
          <w:sz w:val="22"/>
          <w:szCs w:val="22"/>
        </w:rPr>
        <w:t>COSTE DE LA INVERSIÓN Y DISTRIBUCIÓN ANUALIZADA</w:t>
      </w:r>
    </w:p>
    <w:p w:rsidR="00F21D3F" w:rsidRPr="00F21D3F" w:rsidRDefault="00DE019C" w:rsidP="00F21D3F">
      <w:pPr>
        <w:spacing w:before="120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(M</w:t>
      </w:r>
      <w:bookmarkStart w:id="0" w:name="_GoBack"/>
      <w:bookmarkEnd w:id="0"/>
      <w:r w:rsidR="00F21D3F" w:rsidRPr="00F21D3F">
        <w:rPr>
          <w:rFonts w:ascii="Arial" w:hAnsi="Arial" w:cs="Arial"/>
          <w:sz w:val="18"/>
          <w:szCs w:val="18"/>
        </w:rPr>
        <w:t>iles de euros)</w:t>
      </w:r>
    </w:p>
    <w:tbl>
      <w:tblPr>
        <w:tblStyle w:val="Tablaconcuadrcula"/>
        <w:tblW w:w="867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  <w:tblCaption w:val="Tabla Coste de la inversión y distribución anualizada"/>
        <w:tblDescription w:val="Periodificación por años, Coste del mecanismo, Otra financiación y Totales"/>
      </w:tblPr>
      <w:tblGrid>
        <w:gridCol w:w="2043"/>
        <w:gridCol w:w="829"/>
        <w:gridCol w:w="829"/>
        <w:gridCol w:w="829"/>
        <w:gridCol w:w="829"/>
        <w:gridCol w:w="829"/>
        <w:gridCol w:w="829"/>
        <w:gridCol w:w="829"/>
        <w:gridCol w:w="829"/>
      </w:tblGrid>
      <w:tr w:rsidR="00F21D3F" w:rsidTr="00F21D3F">
        <w:trPr>
          <w:trHeight w:val="337"/>
          <w:tblHeader/>
          <w:jc w:val="center"/>
        </w:trPr>
        <w:tc>
          <w:tcPr>
            <w:tcW w:w="2112" w:type="dxa"/>
            <w:vAlign w:val="center"/>
            <w:hideMark/>
          </w:tcPr>
          <w:p w:rsidR="00F21D3F" w:rsidRDefault="00F21D3F" w:rsidP="00E92F15">
            <w:pPr>
              <w:spacing w:before="120" w:after="120"/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PERIODIFICACIÓN</w:t>
            </w:r>
          </w:p>
        </w:tc>
        <w:tc>
          <w:tcPr>
            <w:tcW w:w="851" w:type="dxa"/>
            <w:vAlign w:val="center"/>
            <w:hideMark/>
          </w:tcPr>
          <w:p w:rsidR="00F21D3F" w:rsidRDefault="00F21D3F" w:rsidP="00E92F15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  <w:tc>
          <w:tcPr>
            <w:tcW w:w="851" w:type="dxa"/>
            <w:vAlign w:val="center"/>
            <w:hideMark/>
          </w:tcPr>
          <w:p w:rsidR="00F21D3F" w:rsidRDefault="00F21D3F" w:rsidP="00E92F15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2021</w:t>
            </w:r>
          </w:p>
        </w:tc>
        <w:tc>
          <w:tcPr>
            <w:tcW w:w="851" w:type="dxa"/>
            <w:vAlign w:val="center"/>
            <w:hideMark/>
          </w:tcPr>
          <w:p w:rsidR="00F21D3F" w:rsidRDefault="00F21D3F" w:rsidP="00E92F15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2022</w:t>
            </w:r>
          </w:p>
        </w:tc>
        <w:tc>
          <w:tcPr>
            <w:tcW w:w="851" w:type="dxa"/>
            <w:vAlign w:val="center"/>
            <w:hideMark/>
          </w:tcPr>
          <w:p w:rsidR="00F21D3F" w:rsidRDefault="00F21D3F" w:rsidP="00E92F15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2023</w:t>
            </w:r>
          </w:p>
        </w:tc>
        <w:tc>
          <w:tcPr>
            <w:tcW w:w="851" w:type="dxa"/>
            <w:vAlign w:val="center"/>
            <w:hideMark/>
          </w:tcPr>
          <w:p w:rsidR="00F21D3F" w:rsidRDefault="00F21D3F" w:rsidP="00E92F15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2024</w:t>
            </w:r>
          </w:p>
        </w:tc>
        <w:tc>
          <w:tcPr>
            <w:tcW w:w="851" w:type="dxa"/>
            <w:vAlign w:val="center"/>
            <w:hideMark/>
          </w:tcPr>
          <w:p w:rsidR="00F21D3F" w:rsidRDefault="00F21D3F" w:rsidP="00E92F15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2025</w:t>
            </w:r>
          </w:p>
        </w:tc>
        <w:tc>
          <w:tcPr>
            <w:tcW w:w="851" w:type="dxa"/>
            <w:vAlign w:val="center"/>
            <w:hideMark/>
          </w:tcPr>
          <w:p w:rsidR="00F21D3F" w:rsidRDefault="00F21D3F" w:rsidP="00E92F15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2026</w:t>
            </w:r>
          </w:p>
        </w:tc>
        <w:tc>
          <w:tcPr>
            <w:tcW w:w="851" w:type="dxa"/>
            <w:vAlign w:val="center"/>
            <w:hideMark/>
          </w:tcPr>
          <w:p w:rsidR="00F21D3F" w:rsidRDefault="00F21D3F" w:rsidP="00E92F15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</w:tr>
      <w:tr w:rsidR="00F21D3F" w:rsidTr="00F21D3F">
        <w:trPr>
          <w:trHeight w:hRule="exact" w:val="342"/>
          <w:jc w:val="center"/>
        </w:trPr>
        <w:tc>
          <w:tcPr>
            <w:tcW w:w="2112" w:type="dxa"/>
            <w:vAlign w:val="center"/>
            <w:hideMark/>
          </w:tcPr>
          <w:p w:rsidR="00F21D3F" w:rsidRDefault="00F21D3F" w:rsidP="00E92F15">
            <w:pPr>
              <w:spacing w:before="60" w:after="60"/>
              <w:ind w:left="3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Coste del Mecanismo</w:t>
            </w:r>
          </w:p>
        </w:tc>
        <w:tc>
          <w:tcPr>
            <w:tcW w:w="851" w:type="dxa"/>
            <w:vAlign w:val="center"/>
          </w:tcPr>
          <w:p w:rsidR="00F21D3F" w:rsidRPr="00F21D3F" w:rsidRDefault="00F21D3F" w:rsidP="00E92F15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1D3F" w:rsidRPr="00F21D3F" w:rsidRDefault="00F21D3F" w:rsidP="00E92F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1D3F" w:rsidRPr="00F21D3F" w:rsidRDefault="00F21D3F" w:rsidP="00E92F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105.000</w:t>
            </w:r>
          </w:p>
        </w:tc>
        <w:tc>
          <w:tcPr>
            <w:tcW w:w="851" w:type="dxa"/>
            <w:vAlign w:val="center"/>
          </w:tcPr>
          <w:p w:rsidR="00F21D3F" w:rsidRPr="00F21D3F" w:rsidRDefault="00F21D3F" w:rsidP="00E92F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120.000</w:t>
            </w:r>
          </w:p>
        </w:tc>
        <w:tc>
          <w:tcPr>
            <w:tcW w:w="851" w:type="dxa"/>
            <w:vAlign w:val="center"/>
          </w:tcPr>
          <w:p w:rsidR="00F21D3F" w:rsidRPr="00F21D3F" w:rsidRDefault="00F21D3F" w:rsidP="00E92F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1D3F" w:rsidRPr="00F21D3F" w:rsidRDefault="00F21D3F" w:rsidP="00E92F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1D3F" w:rsidRPr="00F21D3F" w:rsidRDefault="00F21D3F" w:rsidP="00E92F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1D3F" w:rsidRPr="00F21D3F" w:rsidRDefault="00F21D3F" w:rsidP="00E92F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225.000</w:t>
            </w:r>
          </w:p>
        </w:tc>
      </w:tr>
      <w:tr w:rsidR="00F21D3F" w:rsidTr="00F21D3F">
        <w:trPr>
          <w:trHeight w:hRule="exact" w:val="340"/>
          <w:jc w:val="center"/>
        </w:trPr>
        <w:tc>
          <w:tcPr>
            <w:tcW w:w="2112" w:type="dxa"/>
            <w:vAlign w:val="center"/>
            <w:hideMark/>
          </w:tcPr>
          <w:p w:rsidR="00F21D3F" w:rsidRDefault="00F21D3F" w:rsidP="00E92F15">
            <w:pPr>
              <w:spacing w:before="60" w:after="60"/>
              <w:ind w:left="3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Otra financiación</w:t>
            </w:r>
          </w:p>
        </w:tc>
        <w:tc>
          <w:tcPr>
            <w:tcW w:w="851" w:type="dxa"/>
            <w:vAlign w:val="center"/>
          </w:tcPr>
          <w:p w:rsidR="00F21D3F" w:rsidRPr="00F21D3F" w:rsidRDefault="00F21D3F" w:rsidP="00E92F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1D3F" w:rsidRPr="00F21D3F" w:rsidRDefault="00F21D3F" w:rsidP="00E92F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1D3F" w:rsidRPr="00F21D3F" w:rsidRDefault="00F21D3F" w:rsidP="00E92F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1D3F" w:rsidRPr="00F21D3F" w:rsidRDefault="00F21D3F" w:rsidP="00E92F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1D3F" w:rsidRPr="00F21D3F" w:rsidRDefault="00F21D3F" w:rsidP="00E92F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1D3F" w:rsidRPr="00F21D3F" w:rsidRDefault="00F21D3F" w:rsidP="00E92F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1D3F" w:rsidRPr="00F21D3F" w:rsidRDefault="00F21D3F" w:rsidP="00E92F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1D3F" w:rsidRPr="00F21D3F" w:rsidRDefault="00F21D3F" w:rsidP="00E92F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F21D3F" w:rsidTr="00F21D3F">
        <w:trPr>
          <w:trHeight w:hRule="exact" w:val="340"/>
          <w:jc w:val="center"/>
        </w:trPr>
        <w:tc>
          <w:tcPr>
            <w:tcW w:w="2112" w:type="dxa"/>
            <w:vAlign w:val="center"/>
            <w:hideMark/>
          </w:tcPr>
          <w:p w:rsidR="00F21D3F" w:rsidRDefault="00F21D3F" w:rsidP="00E92F15">
            <w:pPr>
              <w:spacing w:before="60" w:after="60"/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851" w:type="dxa"/>
            <w:vAlign w:val="center"/>
          </w:tcPr>
          <w:p w:rsidR="00F21D3F" w:rsidRPr="00F21D3F" w:rsidRDefault="00F21D3F" w:rsidP="00E92F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1D3F" w:rsidRPr="00F21D3F" w:rsidRDefault="00F21D3F" w:rsidP="00E92F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1D3F" w:rsidRPr="00F21D3F" w:rsidRDefault="00F21D3F" w:rsidP="00E92F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105.000</w:t>
            </w:r>
          </w:p>
        </w:tc>
        <w:tc>
          <w:tcPr>
            <w:tcW w:w="851" w:type="dxa"/>
            <w:vAlign w:val="center"/>
          </w:tcPr>
          <w:p w:rsidR="00F21D3F" w:rsidRPr="00F21D3F" w:rsidRDefault="00F21D3F" w:rsidP="00E92F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120.000</w:t>
            </w:r>
          </w:p>
        </w:tc>
        <w:tc>
          <w:tcPr>
            <w:tcW w:w="851" w:type="dxa"/>
            <w:vAlign w:val="center"/>
          </w:tcPr>
          <w:p w:rsidR="00F21D3F" w:rsidRPr="00F21D3F" w:rsidRDefault="00F21D3F" w:rsidP="00E92F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1D3F" w:rsidRPr="00F21D3F" w:rsidRDefault="00F21D3F" w:rsidP="00E92F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1D3F" w:rsidRPr="00F21D3F" w:rsidRDefault="00F21D3F" w:rsidP="00E92F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1D3F" w:rsidRPr="00F21D3F" w:rsidRDefault="00F21D3F" w:rsidP="00E92F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225.000</w:t>
            </w:r>
          </w:p>
        </w:tc>
      </w:tr>
    </w:tbl>
    <w:p w:rsidR="00D559DC" w:rsidRPr="00E36A36" w:rsidRDefault="00517824" w:rsidP="00E9321F">
      <w:pPr>
        <w:spacing w:before="240" w:after="120" w:line="360" w:lineRule="auto"/>
        <w:rPr>
          <w:rFonts w:ascii="Arial" w:hAnsi="Arial" w:cs="Arial"/>
          <w:b/>
          <w:sz w:val="22"/>
          <w:szCs w:val="22"/>
        </w:rPr>
      </w:pPr>
      <w:r w:rsidRPr="00E36A36">
        <w:rPr>
          <w:rFonts w:ascii="Arial" w:hAnsi="Arial" w:cs="Arial"/>
          <w:b/>
          <w:sz w:val="22"/>
          <w:szCs w:val="22"/>
        </w:rPr>
        <w:t xml:space="preserve">6. </w:t>
      </w:r>
      <w:r w:rsidR="005140BB" w:rsidRPr="00E36A36">
        <w:rPr>
          <w:rFonts w:ascii="Arial" w:hAnsi="Arial" w:cs="Arial"/>
          <w:b/>
          <w:sz w:val="22"/>
          <w:szCs w:val="22"/>
        </w:rPr>
        <w:t>HITOS Y OBJETIVOS DE LA INVERSIÓN</w:t>
      </w:r>
    </w:p>
    <w:p w:rsidR="00D559DC" w:rsidRPr="00E36A36" w:rsidRDefault="00D056AF" w:rsidP="00E92F15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2767EC">
        <w:rPr>
          <w:rFonts w:ascii="Arial" w:hAnsi="Arial" w:cs="Arial"/>
          <w:sz w:val="22"/>
          <w:szCs w:val="22"/>
        </w:rPr>
        <w:t xml:space="preserve">Hito 79 </w:t>
      </w:r>
      <w:r w:rsidRPr="00E36A36">
        <w:rPr>
          <w:rFonts w:ascii="Arial" w:hAnsi="Arial" w:cs="Arial"/>
          <w:sz w:val="22"/>
          <w:szCs w:val="22"/>
        </w:rPr>
        <w:t>(del Council Implementing Decision, CID):</w:t>
      </w:r>
      <w:r w:rsidRPr="002767EC">
        <w:rPr>
          <w:rFonts w:ascii="Arial" w:hAnsi="Arial" w:cs="Arial"/>
          <w:sz w:val="22"/>
          <w:szCs w:val="22"/>
        </w:rPr>
        <w:t xml:space="preserve"> </w:t>
      </w:r>
      <w:r w:rsidRPr="00EA6329">
        <w:rPr>
          <w:rFonts w:ascii="Arial" w:hAnsi="Arial" w:cs="Arial"/>
          <w:sz w:val="22"/>
          <w:szCs w:val="22"/>
        </w:rPr>
        <w:t>“Puesta en funcionamiento de herramientas para mejorar el conocimiento y el uso de los recursos hídricos, y para registrar las precipitaciones y otros datos meteorológicos”,</w:t>
      </w:r>
      <w:r w:rsidRPr="002767EC">
        <w:rPr>
          <w:rFonts w:ascii="Arial" w:hAnsi="Arial" w:cs="Arial"/>
          <w:sz w:val="22"/>
          <w:szCs w:val="22"/>
        </w:rPr>
        <w:t xml:space="preserve"> </w:t>
      </w:r>
      <w:r w:rsidRPr="00E36A36">
        <w:rPr>
          <w:rFonts w:ascii="Arial" w:hAnsi="Arial" w:cs="Arial"/>
          <w:sz w:val="22"/>
          <w:szCs w:val="22"/>
        </w:rPr>
        <w:t>a alcanzar en Q4 2023.</w:t>
      </w:r>
    </w:p>
    <w:sectPr w:rsidR="00D559DC" w:rsidRPr="00E36A36" w:rsidSect="00F21D3F">
      <w:pgSz w:w="11907" w:h="16840" w:code="9"/>
      <w:pgMar w:top="1985" w:right="1134" w:bottom="1134" w:left="1985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210E1"/>
    <w:multiLevelType w:val="hybridMultilevel"/>
    <w:tmpl w:val="B25C036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0767CA"/>
    <w:multiLevelType w:val="hybridMultilevel"/>
    <w:tmpl w:val="0AB668E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5A33EC"/>
    <w:multiLevelType w:val="hybridMultilevel"/>
    <w:tmpl w:val="32264F64"/>
    <w:lvl w:ilvl="0" w:tplc="0C0A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76426"/>
    <w:multiLevelType w:val="hybridMultilevel"/>
    <w:tmpl w:val="F356C09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D38099F"/>
    <w:multiLevelType w:val="hybridMultilevel"/>
    <w:tmpl w:val="C19C0730"/>
    <w:lvl w:ilvl="0" w:tplc="454A94C4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427271"/>
    <w:multiLevelType w:val="hybridMultilevel"/>
    <w:tmpl w:val="605AE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5D40EF"/>
    <w:multiLevelType w:val="hybridMultilevel"/>
    <w:tmpl w:val="864CA69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5951BA2"/>
    <w:multiLevelType w:val="hybridMultilevel"/>
    <w:tmpl w:val="8A9630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9D"/>
    <w:rsid w:val="00012267"/>
    <w:rsid w:val="00062AE0"/>
    <w:rsid w:val="00080CFF"/>
    <w:rsid w:val="000A1311"/>
    <w:rsid w:val="000C68A4"/>
    <w:rsid w:val="000C6B72"/>
    <w:rsid w:val="000F3FBB"/>
    <w:rsid w:val="001A5F87"/>
    <w:rsid w:val="001B34B9"/>
    <w:rsid w:val="002767EC"/>
    <w:rsid w:val="00283646"/>
    <w:rsid w:val="002C06AF"/>
    <w:rsid w:val="002F0C59"/>
    <w:rsid w:val="003154A2"/>
    <w:rsid w:val="003208C4"/>
    <w:rsid w:val="00343745"/>
    <w:rsid w:val="00357058"/>
    <w:rsid w:val="00382521"/>
    <w:rsid w:val="00382F6E"/>
    <w:rsid w:val="003A7E9B"/>
    <w:rsid w:val="003D56D8"/>
    <w:rsid w:val="00421AB4"/>
    <w:rsid w:val="0046397C"/>
    <w:rsid w:val="005140BB"/>
    <w:rsid w:val="00517824"/>
    <w:rsid w:val="00542732"/>
    <w:rsid w:val="0055291D"/>
    <w:rsid w:val="00564761"/>
    <w:rsid w:val="005B477A"/>
    <w:rsid w:val="005C4BF4"/>
    <w:rsid w:val="006A0E7F"/>
    <w:rsid w:val="006F018F"/>
    <w:rsid w:val="007B6373"/>
    <w:rsid w:val="007E37FC"/>
    <w:rsid w:val="007F3B1F"/>
    <w:rsid w:val="008076C5"/>
    <w:rsid w:val="008476C0"/>
    <w:rsid w:val="008620A4"/>
    <w:rsid w:val="008B3CA0"/>
    <w:rsid w:val="008B6C42"/>
    <w:rsid w:val="008D6462"/>
    <w:rsid w:val="008F0C79"/>
    <w:rsid w:val="0093453B"/>
    <w:rsid w:val="00952F88"/>
    <w:rsid w:val="00953464"/>
    <w:rsid w:val="00991697"/>
    <w:rsid w:val="009A64D7"/>
    <w:rsid w:val="009A7074"/>
    <w:rsid w:val="00A06941"/>
    <w:rsid w:val="00A32DF7"/>
    <w:rsid w:val="00A41B8E"/>
    <w:rsid w:val="00A44DEA"/>
    <w:rsid w:val="00A9503D"/>
    <w:rsid w:val="00AA1BD1"/>
    <w:rsid w:val="00AE318F"/>
    <w:rsid w:val="00B16ECE"/>
    <w:rsid w:val="00B30BB6"/>
    <w:rsid w:val="00B6769D"/>
    <w:rsid w:val="00B80D92"/>
    <w:rsid w:val="00BB64BC"/>
    <w:rsid w:val="00BC68EB"/>
    <w:rsid w:val="00BD0B29"/>
    <w:rsid w:val="00BE5B5A"/>
    <w:rsid w:val="00C87CB2"/>
    <w:rsid w:val="00CA5DBC"/>
    <w:rsid w:val="00CB75ED"/>
    <w:rsid w:val="00CD7EFF"/>
    <w:rsid w:val="00D056AF"/>
    <w:rsid w:val="00D46D8D"/>
    <w:rsid w:val="00D559DC"/>
    <w:rsid w:val="00D74D71"/>
    <w:rsid w:val="00DE019C"/>
    <w:rsid w:val="00E36A36"/>
    <w:rsid w:val="00E758B4"/>
    <w:rsid w:val="00E92F15"/>
    <w:rsid w:val="00E9321F"/>
    <w:rsid w:val="00EA6329"/>
    <w:rsid w:val="00ED092E"/>
    <w:rsid w:val="00F21D3F"/>
    <w:rsid w:val="00F34B41"/>
    <w:rsid w:val="00F92F51"/>
    <w:rsid w:val="00FF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B4134B"/>
  <w15:docId w15:val="{EC5E6278-3968-4AC8-8964-9C11EE20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20A4"/>
    <w:pPr>
      <w:ind w:left="720"/>
      <w:contextualSpacing/>
    </w:pPr>
  </w:style>
  <w:style w:type="table" w:styleId="Tablaconcuadrcula">
    <w:name w:val="Table Grid"/>
    <w:basedOn w:val="Tablanormal"/>
    <w:rsid w:val="00862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3208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3208C4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B0594-D139-4B6D-872F-CFAD67864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536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Angulo Santos, Félix</cp:lastModifiedBy>
  <cp:revision>24</cp:revision>
  <cp:lastPrinted>2021-06-09T11:44:00Z</cp:lastPrinted>
  <dcterms:created xsi:type="dcterms:W3CDTF">2021-09-22T15:18:00Z</dcterms:created>
  <dcterms:modified xsi:type="dcterms:W3CDTF">2021-10-19T21:21:00Z</dcterms:modified>
</cp:coreProperties>
</file>